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E89" w:rsidRPr="006E3AA7" w:rsidRDefault="00FC4E89" w:rsidP="004964A8">
      <w:pPr>
        <w:spacing w:line="240" w:lineRule="auto"/>
        <w:ind w:right="-284" w:firstLine="0"/>
        <w:jc w:val="center"/>
        <w:rPr>
          <w:b/>
          <w:szCs w:val="28"/>
        </w:rPr>
      </w:pPr>
      <w:r w:rsidRPr="006E3AA7">
        <w:rPr>
          <w:b/>
          <w:szCs w:val="28"/>
        </w:rPr>
        <w:t xml:space="preserve">КОНТРОЛЬНО-СЧЕТНАЯ ПАЛАТА </w:t>
      </w:r>
    </w:p>
    <w:p w:rsidR="00FC4E89" w:rsidRPr="006E3AA7" w:rsidRDefault="00FC4E89" w:rsidP="004964A8">
      <w:pPr>
        <w:spacing w:line="240" w:lineRule="auto"/>
        <w:ind w:right="-284" w:firstLine="0"/>
        <w:jc w:val="center"/>
        <w:rPr>
          <w:b/>
          <w:szCs w:val="28"/>
        </w:rPr>
      </w:pPr>
      <w:r w:rsidRPr="006E3AA7">
        <w:rPr>
          <w:b/>
          <w:szCs w:val="28"/>
        </w:rPr>
        <w:t>НАХОДКИНСКОГО ГОРОДСКОГО ОКРУГА</w:t>
      </w:r>
    </w:p>
    <w:p w:rsidR="00FC4E89" w:rsidRPr="00C957C3" w:rsidRDefault="005E25C3" w:rsidP="004964A8">
      <w:pPr>
        <w:spacing w:line="240" w:lineRule="auto"/>
        <w:ind w:firstLine="0"/>
        <w:rPr>
          <w:sz w:val="20"/>
        </w:rPr>
      </w:pPr>
      <w:r w:rsidRPr="00C957C3">
        <w:rPr>
          <w:sz w:val="20"/>
        </w:rPr>
        <w:t xml:space="preserve"> </w:t>
      </w:r>
    </w:p>
    <w:tbl>
      <w:tblPr>
        <w:tblpPr w:leftFromText="180" w:rightFromText="180" w:vertAnchor="text" w:horzAnchor="page" w:tblpX="1474" w:tblpY="80"/>
        <w:tblW w:w="9747" w:type="dxa"/>
        <w:tblBorders>
          <w:top w:val="single" w:sz="24" w:space="0" w:color="auto"/>
        </w:tblBorders>
        <w:tblLayout w:type="fixed"/>
        <w:tblLook w:val="0000" w:firstRow="0" w:lastRow="0" w:firstColumn="0" w:lastColumn="0" w:noHBand="0" w:noVBand="0"/>
      </w:tblPr>
      <w:tblGrid>
        <w:gridCol w:w="9747"/>
      </w:tblGrid>
      <w:tr w:rsidR="00FC4E89" w:rsidRPr="006E3AA7" w:rsidTr="007B2367">
        <w:trPr>
          <w:trHeight w:val="42"/>
        </w:trPr>
        <w:tc>
          <w:tcPr>
            <w:tcW w:w="9747" w:type="dxa"/>
            <w:tcBorders>
              <w:top w:val="single" w:sz="12" w:space="0" w:color="auto"/>
            </w:tcBorders>
          </w:tcPr>
          <w:tbl>
            <w:tblPr>
              <w:tblpPr w:leftFromText="180" w:rightFromText="180" w:vertAnchor="page" w:horzAnchor="margin" w:tblpY="1"/>
              <w:tblOverlap w:val="never"/>
              <w:tblW w:w="9923" w:type="dxa"/>
              <w:tblLayout w:type="fixed"/>
              <w:tblCellMar>
                <w:left w:w="0" w:type="dxa"/>
                <w:right w:w="0" w:type="dxa"/>
              </w:tblCellMar>
              <w:tblLook w:val="0000" w:firstRow="0" w:lastRow="0" w:firstColumn="0" w:lastColumn="0" w:noHBand="0" w:noVBand="0"/>
            </w:tblPr>
            <w:tblGrid>
              <w:gridCol w:w="4678"/>
              <w:gridCol w:w="5245"/>
            </w:tblGrid>
            <w:tr w:rsidR="00FC4E89" w:rsidRPr="006E3AA7" w:rsidTr="007B2367">
              <w:trPr>
                <w:cantSplit/>
                <w:trHeight w:hRule="exact" w:val="507"/>
              </w:trPr>
              <w:tc>
                <w:tcPr>
                  <w:tcW w:w="4678" w:type="dxa"/>
                </w:tcPr>
                <w:p w:rsidR="00FC4E89" w:rsidRPr="006E3AA7" w:rsidRDefault="00FC4E89" w:rsidP="004964A8">
                  <w:pPr>
                    <w:spacing w:before="180" w:line="240" w:lineRule="auto"/>
                    <w:ind w:firstLine="0"/>
                    <w:jc w:val="left"/>
                    <w:rPr>
                      <w:sz w:val="26"/>
                      <w:szCs w:val="26"/>
                    </w:rPr>
                  </w:pPr>
                </w:p>
              </w:tc>
              <w:tc>
                <w:tcPr>
                  <w:tcW w:w="5245" w:type="dxa"/>
                </w:tcPr>
                <w:p w:rsidR="00FC4E89" w:rsidRPr="006E3AA7" w:rsidRDefault="00FC4E89" w:rsidP="004964A8">
                  <w:pPr>
                    <w:spacing w:before="180" w:line="240" w:lineRule="auto"/>
                    <w:ind w:right="113" w:firstLine="0"/>
                    <w:jc w:val="right"/>
                    <w:rPr>
                      <w:sz w:val="26"/>
                      <w:szCs w:val="26"/>
                    </w:rPr>
                  </w:pPr>
                </w:p>
              </w:tc>
            </w:tr>
          </w:tbl>
          <w:p w:rsidR="00FC4E89" w:rsidRPr="006E3AA7" w:rsidRDefault="00FC4E89" w:rsidP="004964A8">
            <w:pPr>
              <w:spacing w:line="240" w:lineRule="auto"/>
              <w:ind w:firstLine="0"/>
              <w:jc w:val="center"/>
              <w:rPr>
                <w:sz w:val="26"/>
                <w:szCs w:val="26"/>
              </w:rPr>
            </w:pPr>
          </w:p>
        </w:tc>
      </w:tr>
    </w:tbl>
    <w:p w:rsidR="00FC4E89" w:rsidRPr="00740414" w:rsidRDefault="0043373A" w:rsidP="004964A8">
      <w:pPr>
        <w:pStyle w:val="2"/>
        <w:ind w:right="-284"/>
      </w:pPr>
      <w:bookmarkStart w:id="0" w:name="_GoBack"/>
      <w:bookmarkEnd w:id="0"/>
      <w:r>
        <w:t>Информация</w:t>
      </w:r>
    </w:p>
    <w:p w:rsidR="00FC4E89" w:rsidRPr="00740414" w:rsidRDefault="00FC4E89" w:rsidP="004964A8">
      <w:pPr>
        <w:pStyle w:val="2"/>
        <w:ind w:right="-284"/>
      </w:pPr>
      <w:r w:rsidRPr="00740414">
        <w:t>о результатах контрольного мероприятия</w:t>
      </w:r>
    </w:p>
    <w:p w:rsidR="005D72F3" w:rsidRPr="005D72F3" w:rsidRDefault="005D72F3" w:rsidP="005D72F3">
      <w:pPr>
        <w:spacing w:line="240" w:lineRule="auto"/>
        <w:ind w:right="-284" w:firstLine="426"/>
        <w:jc w:val="center"/>
        <w:rPr>
          <w:sz w:val="26"/>
          <w:szCs w:val="26"/>
        </w:rPr>
      </w:pPr>
      <w:r w:rsidRPr="005D72F3">
        <w:rPr>
          <w:sz w:val="26"/>
          <w:szCs w:val="26"/>
        </w:rPr>
        <w:t>«</w:t>
      </w:r>
      <w:r w:rsidR="0086521A" w:rsidRPr="0086521A">
        <w:rPr>
          <w:sz w:val="26"/>
          <w:szCs w:val="26"/>
        </w:rPr>
        <w:t>Аудит эффективности деятельности учреждений дополнительного образования, подведомственных управлению культуры, за 2022-2024 годы</w:t>
      </w:r>
      <w:r w:rsidRPr="005D72F3">
        <w:rPr>
          <w:sz w:val="26"/>
          <w:szCs w:val="26"/>
        </w:rPr>
        <w:t>»</w:t>
      </w:r>
    </w:p>
    <w:p w:rsidR="00FC4E89" w:rsidRPr="006E3AA7" w:rsidRDefault="00FC4E89" w:rsidP="004964A8">
      <w:pPr>
        <w:spacing w:line="240" w:lineRule="auto"/>
        <w:ind w:right="-284" w:firstLine="426"/>
        <w:jc w:val="center"/>
        <w:rPr>
          <w:sz w:val="26"/>
          <w:szCs w:val="26"/>
          <w:vertAlign w:val="superscript"/>
          <w:lang w:eastAsia="en-US"/>
        </w:rPr>
      </w:pP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Контрольное мероприятие «Аудит эффективности деятельности учреждений дополнительного образования, подведомственных управлению культуры, за 2022-2024 годы» проводилось с 13.05.2025г. по 04.07.2025г.</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В ходе проведения контрольного мероприятия установлено следующее:</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В Находкинском городском округе действует 6 муниципальных учреждений культуры дополнительного образования детей:</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1. МБУ ДО «Городская детская хоровая школа» НГО (далее – ГДХШ);</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2. МБУ ДО «Детская школа искусств № 1» НГО (далее – ДШИ № 1);</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3. МБУ ДО «Детская школа искусств № 4» НГО (далее –ДШИ № 4);</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4. МБУ ДО «Детская школа искусств № 5» НГО (далее –ДШИ № 5);</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5. МБУ ДО «Детская художественная школа № 1» НГО (далее –ДХШ № 1);</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6. МБУ ДО «Детская художественная школа № 2» НГО (далее –ДХШ № 2).</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В целом, эффективность деятельности муниципальных учреждений дополнительного образования в сфере культуры Находкинского городского округа признана умеренно эффективной.</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 xml:space="preserve">Вместе с тем, аудитом выявлены следующие недостатки: </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1. Постановлением Правительства РФ от 15.09.2020 № 1441 «Об утверждении правил оказания платных образовательных услуг» (п.3) предусмотрено, что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Взимание платы с физических лиц за образовательные услуги, предусмотренные государственным (муниципальным) заданием, не допускается. Также, в муниципальных заданиях на 2022-2024 годы у всех учреждений размер платы за образовательные услуги не установлен, то есть услуги в рамках муниципального задания должны предоставляться бесплатно. При этом, во всех школах взимается родительская плата.</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Порядок поступления на бюджетные места, перевода на бюджет, отчисление с бюджета и т.д. учреждениями дополнительного образования не разработан и не утвержден.</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lastRenderedPageBreak/>
        <w:t>2. Перечень НПА, включенных в муниципальное задание для учреждений дополнительного образования в сфере культуры, содержит ссылки на отмененные и несуществующие документы, а также на действующие НПА, не имеющие отношения к порядку оказания муниципальных услуг в области дополнительного образования детей.</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3. Показатели объема муниципальной услуги большинства учреждений дополнительного образования меньше или больше показателей, установленных в муниципальном задании (с учетом допустимых (возможных) отклонений). Отклонение показателей объема муниципальной услуги сверх допустимых (возможных) установлены в отношении следующих учреждений: в 2022 году – ДШИ № 5, ДХШ № 2, ДШИ №1, ГДХШ; в 2023 году - ДШИ № 5, ДШИ № 1, ДШИ № 4, ГДХШ; в 2024 году - ДШИ № 5, ДШИ № 1, ГДХШ.</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Изменения в муниципальные задания учреждений дополнительного образования главным распорядителем бюджетных средств не вносились.</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4. Отчеты о выполнении муниципального задания ДШИ № 5 за 2022 год, ГДХШ за 2022 год, ДШИ № 1 за 2022, 2023 годы не содержат описание причин отклонения показателей объема муниципальной услуги, превышающего допустимое (возможное) отклонение.</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5. Выездами рабочей группы выявлены недостатки в МБУ ДО «</w:t>
      </w:r>
      <w:r w:rsidR="000C2817">
        <w:rPr>
          <w:rFonts w:eastAsiaTheme="minorHAnsi"/>
          <w:sz w:val="26"/>
          <w:szCs w:val="26"/>
          <w:lang w:eastAsia="en-US"/>
        </w:rPr>
        <w:t>ДШИ</w:t>
      </w:r>
      <w:r w:rsidRPr="0043373A">
        <w:rPr>
          <w:rFonts w:eastAsiaTheme="minorHAnsi"/>
          <w:sz w:val="26"/>
          <w:szCs w:val="26"/>
          <w:lang w:eastAsia="en-US"/>
        </w:rPr>
        <w:t xml:space="preserve"> № 4» НГО (пандус не соответствует требованиям безопасности, узел учета тепловой энергии неисправен), МБУ ДО «</w:t>
      </w:r>
      <w:r w:rsidR="000C2817">
        <w:rPr>
          <w:rFonts w:eastAsiaTheme="minorHAnsi"/>
          <w:sz w:val="26"/>
          <w:szCs w:val="26"/>
          <w:lang w:eastAsia="en-US"/>
        </w:rPr>
        <w:t>ДШИ</w:t>
      </w:r>
      <w:r w:rsidRPr="0043373A">
        <w:rPr>
          <w:rFonts w:eastAsiaTheme="minorHAnsi"/>
          <w:sz w:val="26"/>
          <w:szCs w:val="26"/>
          <w:lang w:eastAsia="en-US"/>
        </w:rPr>
        <w:t xml:space="preserve"> №1» НГО (капитальный ремонт, проведенный в 2023 году, выполнен некачественно, имеется множество замечаний, нецелесообразность установки шлагбаума перед воротами), МБУ ДО «</w:t>
      </w:r>
      <w:r w:rsidR="000C2817">
        <w:rPr>
          <w:rFonts w:eastAsiaTheme="minorHAnsi"/>
          <w:sz w:val="26"/>
          <w:szCs w:val="26"/>
          <w:lang w:eastAsia="en-US"/>
        </w:rPr>
        <w:t>ДХШ</w:t>
      </w:r>
      <w:r w:rsidRPr="0043373A">
        <w:rPr>
          <w:rFonts w:eastAsiaTheme="minorHAnsi"/>
          <w:sz w:val="26"/>
          <w:szCs w:val="26"/>
          <w:lang w:eastAsia="en-US"/>
        </w:rPr>
        <w:t xml:space="preserve"> №1» НГО (здание и внутренние помещения требуют капитального ремонта),  МБУ ДО «</w:t>
      </w:r>
      <w:r w:rsidR="000C2817">
        <w:rPr>
          <w:rFonts w:eastAsiaTheme="minorHAnsi"/>
          <w:sz w:val="26"/>
          <w:szCs w:val="26"/>
          <w:lang w:eastAsia="en-US"/>
        </w:rPr>
        <w:t xml:space="preserve">ДХШ </w:t>
      </w:r>
      <w:r w:rsidRPr="0043373A">
        <w:rPr>
          <w:rFonts w:eastAsiaTheme="minorHAnsi"/>
          <w:sz w:val="26"/>
          <w:szCs w:val="26"/>
          <w:lang w:eastAsia="en-US"/>
        </w:rPr>
        <w:t xml:space="preserve">№2» НГО (в санузле для девочек по ул. Малиновского, д.11а отсутствует перегородка). </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6. Учреждениями не используются возможности получения дополнительного дохода от оказания платных услуг всем категориям населения в свободное от учебного процесса времени.</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 xml:space="preserve">7. Мониторинг «шаговой» доступности населения к услугам дополнительного образования детей в сфере культуры показал недостаточное количество школ искусств в городе. </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 xml:space="preserve">8. При том, что все школы подготовлены для обучения детей с ограниченными возможностями, из шести учреждений только одно учреждение (МБУ ДО «ГДХШ») оказывает услуги дополнительного образования таким детям. Ни в одной школе не реализуются программы для детей «группы риска». </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 xml:space="preserve">На основании изложенного Контрольно-счетной палатой направлены рекомендательные письма администрации НГО и ГРБС культуры (МКУ «ЦБ МУК» НГО) с предложениями: </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1. Муниципальным учреждениям дополнительного образования в сфере предоставлять услуги в соответствии с Постановлением Правительства РФ от 15.09.2020 № 1441 и муниципальными заданиями.</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lastRenderedPageBreak/>
        <w:t>2. Учредителю (управлению культуры администрации НГО) и главному распорядителю бюджетных средств (МКУ «ЦБ МУК» НГО) усилить контроль за исполнением муниципального задания и соблюдением требований к отчетности о выполнении муниципального задания.</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3. МБУ ДО «ДШИ №1» НГО устранить недостатки, выявленные в результате осмотров, в рамках гарантийного срока.</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4.  Рассмотреть вопрос о проведении капитального ремонта в МБУ ДО «ДХШ №1» НГО, установки перегородки в туалете МБУ ДО «ДХШ №2», обеспечении безопасности использования пандуса и ремонта узла учета тепловой энергии в МБУ ДО «ДШИ №4» НГО.</w:t>
      </w:r>
    </w:p>
    <w:p w:rsidR="0043373A" w:rsidRPr="0043373A" w:rsidRDefault="0043373A" w:rsidP="0043373A">
      <w:pPr>
        <w:spacing w:line="276" w:lineRule="auto"/>
        <w:ind w:firstLine="426"/>
        <w:rPr>
          <w:rFonts w:eastAsiaTheme="minorHAnsi"/>
          <w:sz w:val="26"/>
          <w:szCs w:val="26"/>
          <w:lang w:eastAsia="en-US"/>
        </w:rPr>
      </w:pPr>
      <w:r w:rsidRPr="0043373A">
        <w:rPr>
          <w:rFonts w:eastAsiaTheme="minorHAnsi"/>
          <w:sz w:val="26"/>
          <w:szCs w:val="26"/>
          <w:lang w:eastAsia="en-US"/>
        </w:rPr>
        <w:t>5. Рекомендовать учреждениям проводить работу по привлечению детей с ограниченными возможностями и детей «группы риска».</w:t>
      </w:r>
    </w:p>
    <w:p w:rsidR="00455B17" w:rsidRDefault="00455B17" w:rsidP="00A00786">
      <w:pPr>
        <w:widowControl w:val="0"/>
        <w:spacing w:line="276" w:lineRule="auto"/>
        <w:ind w:right="-1" w:firstLine="426"/>
        <w:contextualSpacing/>
        <w:rPr>
          <w:sz w:val="26"/>
          <w:szCs w:val="26"/>
        </w:rPr>
      </w:pPr>
    </w:p>
    <w:p w:rsidR="00455B17" w:rsidRPr="00455B17" w:rsidRDefault="00455B17" w:rsidP="00455B17">
      <w:pPr>
        <w:widowControl w:val="0"/>
        <w:spacing w:line="276" w:lineRule="auto"/>
        <w:ind w:right="-1" w:firstLine="426"/>
        <w:contextualSpacing/>
        <w:rPr>
          <w:sz w:val="26"/>
          <w:szCs w:val="26"/>
        </w:rPr>
      </w:pPr>
      <w:r w:rsidRPr="00455B17">
        <w:rPr>
          <w:sz w:val="26"/>
          <w:szCs w:val="26"/>
        </w:rPr>
        <w:t>Отчет по проведенной проверке был направлен главе Находкинского городского округа в соответствии с решением Коллегии Контрольно-счетной палаты Находкинского городского округа от 29.09.2025</w:t>
      </w:r>
      <w:r>
        <w:rPr>
          <w:sz w:val="26"/>
          <w:szCs w:val="26"/>
        </w:rPr>
        <w:t>г</w:t>
      </w:r>
      <w:r w:rsidRPr="00455B17">
        <w:rPr>
          <w:sz w:val="26"/>
          <w:szCs w:val="26"/>
        </w:rPr>
        <w:t xml:space="preserve">.  </w:t>
      </w:r>
    </w:p>
    <w:p w:rsidR="00455B17" w:rsidRDefault="00455B17" w:rsidP="00455B17">
      <w:pPr>
        <w:widowControl w:val="0"/>
        <w:spacing w:line="276" w:lineRule="auto"/>
        <w:ind w:right="-1" w:firstLine="426"/>
        <w:contextualSpacing/>
        <w:rPr>
          <w:sz w:val="26"/>
          <w:szCs w:val="26"/>
        </w:rPr>
      </w:pPr>
      <w:r w:rsidRPr="00455B17">
        <w:rPr>
          <w:sz w:val="26"/>
          <w:szCs w:val="26"/>
        </w:rPr>
        <w:t>Информация по проведенной проверке рассмотрена на заседании Думы Находкинского городского округа 29 октября 2025 года.</w:t>
      </w:r>
    </w:p>
    <w:p w:rsidR="00FC4E89" w:rsidRPr="008D22A1" w:rsidRDefault="00FC4E89" w:rsidP="004964A8">
      <w:pPr>
        <w:widowControl w:val="0"/>
        <w:spacing w:line="276" w:lineRule="auto"/>
        <w:ind w:right="-1" w:firstLine="426"/>
        <w:rPr>
          <w:sz w:val="26"/>
          <w:szCs w:val="26"/>
        </w:rPr>
      </w:pPr>
    </w:p>
    <w:p w:rsidR="0027277C" w:rsidRPr="006E3AA7" w:rsidRDefault="0027277C" w:rsidP="004964A8">
      <w:pPr>
        <w:spacing w:line="276" w:lineRule="auto"/>
        <w:ind w:right="-284" w:firstLine="426"/>
        <w:rPr>
          <w:sz w:val="26"/>
          <w:szCs w:val="26"/>
        </w:rPr>
      </w:pPr>
    </w:p>
    <w:p w:rsidR="007C7C80" w:rsidRPr="006E3AA7" w:rsidRDefault="003F320D" w:rsidP="004964A8">
      <w:pPr>
        <w:spacing w:line="240" w:lineRule="auto"/>
        <w:ind w:firstLine="0"/>
        <w:rPr>
          <w:sz w:val="26"/>
          <w:szCs w:val="26"/>
        </w:rPr>
      </w:pPr>
      <w:r>
        <w:rPr>
          <w:sz w:val="26"/>
          <w:szCs w:val="26"/>
        </w:rPr>
        <w:t>П</w:t>
      </w:r>
      <w:r w:rsidR="002D1B99">
        <w:rPr>
          <w:sz w:val="26"/>
          <w:szCs w:val="26"/>
        </w:rPr>
        <w:t>редседател</w:t>
      </w:r>
      <w:r>
        <w:rPr>
          <w:sz w:val="26"/>
          <w:szCs w:val="26"/>
        </w:rPr>
        <w:t>ь</w:t>
      </w:r>
      <w:r w:rsidR="00AC4D0A" w:rsidRPr="006E3AA7">
        <w:rPr>
          <w:sz w:val="26"/>
          <w:szCs w:val="26"/>
        </w:rPr>
        <w:t xml:space="preserve"> К</w:t>
      </w:r>
      <w:r w:rsidR="007C7C80" w:rsidRPr="006E3AA7">
        <w:rPr>
          <w:sz w:val="26"/>
          <w:szCs w:val="26"/>
        </w:rPr>
        <w:t>онтрольно-счетной палаты</w:t>
      </w:r>
    </w:p>
    <w:p w:rsidR="003F320D" w:rsidRDefault="007C7C80" w:rsidP="002D1B99">
      <w:pPr>
        <w:spacing w:line="240" w:lineRule="auto"/>
        <w:ind w:firstLine="0"/>
        <w:rPr>
          <w:sz w:val="26"/>
          <w:szCs w:val="26"/>
        </w:rPr>
      </w:pPr>
      <w:r w:rsidRPr="006E3AA7">
        <w:rPr>
          <w:sz w:val="26"/>
          <w:szCs w:val="26"/>
        </w:rPr>
        <w:t xml:space="preserve">Находкинского городского округа </w:t>
      </w:r>
      <w:r w:rsidR="003F320D">
        <w:rPr>
          <w:sz w:val="26"/>
          <w:szCs w:val="26"/>
        </w:rPr>
        <w:t xml:space="preserve">                                         </w:t>
      </w:r>
      <w:r w:rsidR="000C2817">
        <w:rPr>
          <w:sz w:val="26"/>
          <w:szCs w:val="26"/>
        </w:rPr>
        <w:t xml:space="preserve">   </w:t>
      </w:r>
      <w:r w:rsidR="003F320D">
        <w:rPr>
          <w:sz w:val="26"/>
          <w:szCs w:val="26"/>
        </w:rPr>
        <w:t xml:space="preserve">                    Д.С. Малявин</w:t>
      </w:r>
    </w:p>
    <w:p w:rsidR="003F320D" w:rsidRDefault="003F320D" w:rsidP="002D1B99">
      <w:pPr>
        <w:spacing w:line="240" w:lineRule="auto"/>
        <w:ind w:firstLine="0"/>
        <w:rPr>
          <w:sz w:val="26"/>
          <w:szCs w:val="26"/>
        </w:rPr>
      </w:pPr>
    </w:p>
    <w:p w:rsidR="00F605AF" w:rsidRPr="006E3AA7" w:rsidRDefault="00AC4D0A" w:rsidP="002D1B99">
      <w:pPr>
        <w:spacing w:line="240" w:lineRule="auto"/>
        <w:ind w:firstLine="0"/>
        <w:rPr>
          <w:sz w:val="26"/>
          <w:szCs w:val="26"/>
        </w:rPr>
      </w:pPr>
      <w:r w:rsidRPr="006E3AA7">
        <w:rPr>
          <w:sz w:val="26"/>
          <w:szCs w:val="26"/>
        </w:rPr>
        <w:t xml:space="preserve">                             </w:t>
      </w:r>
      <w:r w:rsidR="00E94D1B" w:rsidRPr="006E3AA7">
        <w:rPr>
          <w:sz w:val="26"/>
          <w:szCs w:val="26"/>
        </w:rPr>
        <w:t xml:space="preserve">  </w:t>
      </w:r>
      <w:r w:rsidR="00726694" w:rsidRPr="006E3AA7">
        <w:rPr>
          <w:sz w:val="26"/>
          <w:szCs w:val="26"/>
        </w:rPr>
        <w:tab/>
      </w:r>
      <w:r w:rsidR="00726694" w:rsidRPr="006E3AA7">
        <w:rPr>
          <w:sz w:val="26"/>
          <w:szCs w:val="26"/>
        </w:rPr>
        <w:tab/>
      </w:r>
      <w:r w:rsidRPr="006E3AA7">
        <w:rPr>
          <w:sz w:val="26"/>
          <w:szCs w:val="26"/>
        </w:rPr>
        <w:tab/>
      </w:r>
    </w:p>
    <w:sectPr w:rsidR="00F605AF" w:rsidRPr="006E3AA7" w:rsidSect="0027277C">
      <w:footerReference w:type="default" r:id="rId8"/>
      <w:pgSz w:w="11906" w:h="16838"/>
      <w:pgMar w:top="1134" w:right="849"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3E4" w:rsidRDefault="00E723E4" w:rsidP="0027277C">
      <w:pPr>
        <w:spacing w:line="240" w:lineRule="auto"/>
      </w:pPr>
      <w:r>
        <w:separator/>
      </w:r>
    </w:p>
  </w:endnote>
  <w:endnote w:type="continuationSeparator" w:id="0">
    <w:p w:rsidR="00E723E4" w:rsidRDefault="00E723E4" w:rsidP="002727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0613072"/>
      <w:docPartObj>
        <w:docPartGallery w:val="Page Numbers (Bottom of Page)"/>
        <w:docPartUnique/>
      </w:docPartObj>
    </w:sdtPr>
    <w:sdtEndPr>
      <w:rPr>
        <w:sz w:val="24"/>
        <w:szCs w:val="24"/>
      </w:rPr>
    </w:sdtEndPr>
    <w:sdtContent>
      <w:p w:rsidR="0027277C" w:rsidRPr="0027277C" w:rsidRDefault="0027277C">
        <w:pPr>
          <w:pStyle w:val="a8"/>
          <w:jc w:val="center"/>
          <w:rPr>
            <w:sz w:val="24"/>
            <w:szCs w:val="24"/>
          </w:rPr>
        </w:pPr>
        <w:r w:rsidRPr="0027277C">
          <w:rPr>
            <w:sz w:val="24"/>
            <w:szCs w:val="24"/>
          </w:rPr>
          <w:fldChar w:fldCharType="begin"/>
        </w:r>
        <w:r w:rsidRPr="0027277C">
          <w:rPr>
            <w:sz w:val="24"/>
            <w:szCs w:val="24"/>
          </w:rPr>
          <w:instrText>PAGE   \* MERGEFORMAT</w:instrText>
        </w:r>
        <w:r w:rsidRPr="0027277C">
          <w:rPr>
            <w:sz w:val="24"/>
            <w:szCs w:val="24"/>
          </w:rPr>
          <w:fldChar w:fldCharType="separate"/>
        </w:r>
        <w:r w:rsidR="00E9034C">
          <w:rPr>
            <w:noProof/>
            <w:sz w:val="24"/>
            <w:szCs w:val="24"/>
          </w:rPr>
          <w:t>3</w:t>
        </w:r>
        <w:r w:rsidRPr="0027277C">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3E4" w:rsidRDefault="00E723E4" w:rsidP="0027277C">
      <w:pPr>
        <w:spacing w:line="240" w:lineRule="auto"/>
      </w:pPr>
      <w:r>
        <w:separator/>
      </w:r>
    </w:p>
  </w:footnote>
  <w:footnote w:type="continuationSeparator" w:id="0">
    <w:p w:rsidR="00E723E4" w:rsidRDefault="00E723E4" w:rsidP="0027277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3B7792"/>
    <w:multiLevelType w:val="hybridMultilevel"/>
    <w:tmpl w:val="D1CAE6F0"/>
    <w:lvl w:ilvl="0" w:tplc="45E01824">
      <w:start w:val="1"/>
      <w:numFmt w:val="decimal"/>
      <w:lvlText w:val="%1."/>
      <w:lvlJc w:val="left"/>
      <w:pPr>
        <w:ind w:left="928"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341C5230"/>
    <w:multiLevelType w:val="hybridMultilevel"/>
    <w:tmpl w:val="6F56CFA6"/>
    <w:lvl w:ilvl="0" w:tplc="512698EE">
      <w:start w:val="1"/>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3A0D4B45"/>
    <w:multiLevelType w:val="hybridMultilevel"/>
    <w:tmpl w:val="6828583A"/>
    <w:lvl w:ilvl="0" w:tplc="0A802C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50314C3"/>
    <w:multiLevelType w:val="hybridMultilevel"/>
    <w:tmpl w:val="5F72067E"/>
    <w:lvl w:ilvl="0" w:tplc="DAF4800C">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61C91C08"/>
    <w:multiLevelType w:val="hybridMultilevel"/>
    <w:tmpl w:val="1D98B11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3"/>
    <w:rsid w:val="000022F7"/>
    <w:rsid w:val="00003775"/>
    <w:rsid w:val="000046D7"/>
    <w:rsid w:val="00005CD2"/>
    <w:rsid w:val="00007538"/>
    <w:rsid w:val="00007692"/>
    <w:rsid w:val="000079AF"/>
    <w:rsid w:val="000106C3"/>
    <w:rsid w:val="000113E5"/>
    <w:rsid w:val="00012941"/>
    <w:rsid w:val="0001502C"/>
    <w:rsid w:val="00021D50"/>
    <w:rsid w:val="0003448E"/>
    <w:rsid w:val="00040C88"/>
    <w:rsid w:val="0004134F"/>
    <w:rsid w:val="00042D88"/>
    <w:rsid w:val="00055229"/>
    <w:rsid w:val="00055FE6"/>
    <w:rsid w:val="000777E9"/>
    <w:rsid w:val="00080A06"/>
    <w:rsid w:val="00091EEE"/>
    <w:rsid w:val="000943DC"/>
    <w:rsid w:val="00094A43"/>
    <w:rsid w:val="000A2B6E"/>
    <w:rsid w:val="000B1837"/>
    <w:rsid w:val="000C2817"/>
    <w:rsid w:val="000C797D"/>
    <w:rsid w:val="000D1A30"/>
    <w:rsid w:val="000E30FF"/>
    <w:rsid w:val="000E5AB6"/>
    <w:rsid w:val="000E7F0E"/>
    <w:rsid w:val="000F0BC2"/>
    <w:rsid w:val="000F4B20"/>
    <w:rsid w:val="0010118A"/>
    <w:rsid w:val="00101608"/>
    <w:rsid w:val="00101618"/>
    <w:rsid w:val="0010717F"/>
    <w:rsid w:val="00114563"/>
    <w:rsid w:val="00133596"/>
    <w:rsid w:val="00134D98"/>
    <w:rsid w:val="00145B69"/>
    <w:rsid w:val="00157240"/>
    <w:rsid w:val="00157779"/>
    <w:rsid w:val="00162722"/>
    <w:rsid w:val="00163749"/>
    <w:rsid w:val="00166616"/>
    <w:rsid w:val="00175272"/>
    <w:rsid w:val="001806B3"/>
    <w:rsid w:val="0018313D"/>
    <w:rsid w:val="00184651"/>
    <w:rsid w:val="001A34F3"/>
    <w:rsid w:val="001A67AE"/>
    <w:rsid w:val="001B3718"/>
    <w:rsid w:val="001C0F20"/>
    <w:rsid w:val="001E1679"/>
    <w:rsid w:val="001E199D"/>
    <w:rsid w:val="001E5C56"/>
    <w:rsid w:val="001F2D77"/>
    <w:rsid w:val="001F3CF5"/>
    <w:rsid w:val="002001B2"/>
    <w:rsid w:val="00204591"/>
    <w:rsid w:val="00207BE6"/>
    <w:rsid w:val="0021412B"/>
    <w:rsid w:val="00231276"/>
    <w:rsid w:val="0024228F"/>
    <w:rsid w:val="00245384"/>
    <w:rsid w:val="00245B02"/>
    <w:rsid w:val="0026022E"/>
    <w:rsid w:val="00267531"/>
    <w:rsid w:val="00272282"/>
    <w:rsid w:val="0027277C"/>
    <w:rsid w:val="002729F5"/>
    <w:rsid w:val="002839D4"/>
    <w:rsid w:val="002A28DA"/>
    <w:rsid w:val="002A3B67"/>
    <w:rsid w:val="002A41CB"/>
    <w:rsid w:val="002A7697"/>
    <w:rsid w:val="002B1526"/>
    <w:rsid w:val="002B5BFF"/>
    <w:rsid w:val="002C1C7E"/>
    <w:rsid w:val="002D0DBC"/>
    <w:rsid w:val="002D1B88"/>
    <w:rsid w:val="002D1B99"/>
    <w:rsid w:val="002D55DE"/>
    <w:rsid w:val="002E5011"/>
    <w:rsid w:val="002E7F31"/>
    <w:rsid w:val="002F5D87"/>
    <w:rsid w:val="00307D23"/>
    <w:rsid w:val="00322E2B"/>
    <w:rsid w:val="003423BD"/>
    <w:rsid w:val="00345333"/>
    <w:rsid w:val="00354A96"/>
    <w:rsid w:val="00355338"/>
    <w:rsid w:val="00361324"/>
    <w:rsid w:val="00364712"/>
    <w:rsid w:val="00365F73"/>
    <w:rsid w:val="00397CFC"/>
    <w:rsid w:val="003A190F"/>
    <w:rsid w:val="003B19EF"/>
    <w:rsid w:val="003C0CAB"/>
    <w:rsid w:val="003C251D"/>
    <w:rsid w:val="003C2CE2"/>
    <w:rsid w:val="003C336E"/>
    <w:rsid w:val="003C6DE6"/>
    <w:rsid w:val="003D209D"/>
    <w:rsid w:val="003D3DF1"/>
    <w:rsid w:val="003D5B7D"/>
    <w:rsid w:val="003E3C4F"/>
    <w:rsid w:val="003F320D"/>
    <w:rsid w:val="00403D5C"/>
    <w:rsid w:val="00410ACD"/>
    <w:rsid w:val="00425237"/>
    <w:rsid w:val="0043373A"/>
    <w:rsid w:val="00433775"/>
    <w:rsid w:val="00433B07"/>
    <w:rsid w:val="00435388"/>
    <w:rsid w:val="00447967"/>
    <w:rsid w:val="00451D83"/>
    <w:rsid w:val="00455B17"/>
    <w:rsid w:val="00456C4C"/>
    <w:rsid w:val="00457CE4"/>
    <w:rsid w:val="0046249E"/>
    <w:rsid w:val="004664E9"/>
    <w:rsid w:val="004964A8"/>
    <w:rsid w:val="004A0B96"/>
    <w:rsid w:val="004A461E"/>
    <w:rsid w:val="004B5F09"/>
    <w:rsid w:val="004C4393"/>
    <w:rsid w:val="004D0995"/>
    <w:rsid w:val="004D2406"/>
    <w:rsid w:val="004D43C2"/>
    <w:rsid w:val="004D5A80"/>
    <w:rsid w:val="004D603C"/>
    <w:rsid w:val="004E2438"/>
    <w:rsid w:val="004E3D0A"/>
    <w:rsid w:val="004E565B"/>
    <w:rsid w:val="004E64D3"/>
    <w:rsid w:val="004F01E1"/>
    <w:rsid w:val="004F34E6"/>
    <w:rsid w:val="0051697B"/>
    <w:rsid w:val="00521FC3"/>
    <w:rsid w:val="00522E1E"/>
    <w:rsid w:val="0052786C"/>
    <w:rsid w:val="00531ABB"/>
    <w:rsid w:val="005356D1"/>
    <w:rsid w:val="00540645"/>
    <w:rsid w:val="0054110F"/>
    <w:rsid w:val="005423D7"/>
    <w:rsid w:val="0054341F"/>
    <w:rsid w:val="005434E6"/>
    <w:rsid w:val="00545EA4"/>
    <w:rsid w:val="00546D10"/>
    <w:rsid w:val="005604E9"/>
    <w:rsid w:val="00570EAA"/>
    <w:rsid w:val="00572979"/>
    <w:rsid w:val="00574E86"/>
    <w:rsid w:val="00577552"/>
    <w:rsid w:val="00581B52"/>
    <w:rsid w:val="00587B42"/>
    <w:rsid w:val="005908CC"/>
    <w:rsid w:val="005A0214"/>
    <w:rsid w:val="005B0268"/>
    <w:rsid w:val="005B2DC6"/>
    <w:rsid w:val="005C138F"/>
    <w:rsid w:val="005D4DBB"/>
    <w:rsid w:val="005D5243"/>
    <w:rsid w:val="005D59FC"/>
    <w:rsid w:val="005D72F3"/>
    <w:rsid w:val="005E0484"/>
    <w:rsid w:val="005E25C3"/>
    <w:rsid w:val="005F0A12"/>
    <w:rsid w:val="005F4F83"/>
    <w:rsid w:val="00611504"/>
    <w:rsid w:val="00615901"/>
    <w:rsid w:val="00617988"/>
    <w:rsid w:val="00623F1E"/>
    <w:rsid w:val="00627A42"/>
    <w:rsid w:val="00632C76"/>
    <w:rsid w:val="00632D98"/>
    <w:rsid w:val="00652C1D"/>
    <w:rsid w:val="00667D9A"/>
    <w:rsid w:val="00670092"/>
    <w:rsid w:val="0067162C"/>
    <w:rsid w:val="00674BFC"/>
    <w:rsid w:val="00675933"/>
    <w:rsid w:val="00676E46"/>
    <w:rsid w:val="00680910"/>
    <w:rsid w:val="00682561"/>
    <w:rsid w:val="006826B6"/>
    <w:rsid w:val="006854D9"/>
    <w:rsid w:val="006957C5"/>
    <w:rsid w:val="006B30CC"/>
    <w:rsid w:val="006D0E3F"/>
    <w:rsid w:val="006D79EA"/>
    <w:rsid w:val="006E3AA7"/>
    <w:rsid w:val="006E4F8F"/>
    <w:rsid w:val="006E66CF"/>
    <w:rsid w:val="006E6DA4"/>
    <w:rsid w:val="00704CF1"/>
    <w:rsid w:val="0070524F"/>
    <w:rsid w:val="00717861"/>
    <w:rsid w:val="007218EE"/>
    <w:rsid w:val="00726694"/>
    <w:rsid w:val="007269D0"/>
    <w:rsid w:val="007402B8"/>
    <w:rsid w:val="00740414"/>
    <w:rsid w:val="00756403"/>
    <w:rsid w:val="00760BA6"/>
    <w:rsid w:val="0076605A"/>
    <w:rsid w:val="00787F77"/>
    <w:rsid w:val="007B2359"/>
    <w:rsid w:val="007B2E5C"/>
    <w:rsid w:val="007B3747"/>
    <w:rsid w:val="007C7C80"/>
    <w:rsid w:val="007D4B3F"/>
    <w:rsid w:val="007D5EBB"/>
    <w:rsid w:val="007E302F"/>
    <w:rsid w:val="007F485E"/>
    <w:rsid w:val="007F55FC"/>
    <w:rsid w:val="008000B2"/>
    <w:rsid w:val="00800B4A"/>
    <w:rsid w:val="008038AD"/>
    <w:rsid w:val="00805C48"/>
    <w:rsid w:val="00817AD8"/>
    <w:rsid w:val="008230EC"/>
    <w:rsid w:val="00836005"/>
    <w:rsid w:val="00836031"/>
    <w:rsid w:val="00836FC5"/>
    <w:rsid w:val="00853790"/>
    <w:rsid w:val="008559E9"/>
    <w:rsid w:val="00861B36"/>
    <w:rsid w:val="008635AA"/>
    <w:rsid w:val="0086521A"/>
    <w:rsid w:val="00865530"/>
    <w:rsid w:val="00876C48"/>
    <w:rsid w:val="008845DF"/>
    <w:rsid w:val="0088644E"/>
    <w:rsid w:val="00886765"/>
    <w:rsid w:val="00887640"/>
    <w:rsid w:val="008A36D7"/>
    <w:rsid w:val="008B1D5A"/>
    <w:rsid w:val="008B2B31"/>
    <w:rsid w:val="008C2E40"/>
    <w:rsid w:val="008D22A1"/>
    <w:rsid w:val="008D7788"/>
    <w:rsid w:val="008E2017"/>
    <w:rsid w:val="008E5BC2"/>
    <w:rsid w:val="008F01B5"/>
    <w:rsid w:val="008F1147"/>
    <w:rsid w:val="008F394D"/>
    <w:rsid w:val="008F4094"/>
    <w:rsid w:val="008F4961"/>
    <w:rsid w:val="009213B1"/>
    <w:rsid w:val="00922A21"/>
    <w:rsid w:val="0093068B"/>
    <w:rsid w:val="00933637"/>
    <w:rsid w:val="00945F34"/>
    <w:rsid w:val="00946D45"/>
    <w:rsid w:val="0095034F"/>
    <w:rsid w:val="00951685"/>
    <w:rsid w:val="00954096"/>
    <w:rsid w:val="009631EE"/>
    <w:rsid w:val="0096712C"/>
    <w:rsid w:val="0098009E"/>
    <w:rsid w:val="00981B93"/>
    <w:rsid w:val="009825E3"/>
    <w:rsid w:val="009832D3"/>
    <w:rsid w:val="00987704"/>
    <w:rsid w:val="00996F0C"/>
    <w:rsid w:val="009A5E86"/>
    <w:rsid w:val="009B01BC"/>
    <w:rsid w:val="009B4519"/>
    <w:rsid w:val="009C5F2A"/>
    <w:rsid w:val="009D0FF8"/>
    <w:rsid w:val="009D1040"/>
    <w:rsid w:val="009D399A"/>
    <w:rsid w:val="009D4800"/>
    <w:rsid w:val="009D4859"/>
    <w:rsid w:val="009E2932"/>
    <w:rsid w:val="009E2ACD"/>
    <w:rsid w:val="009E3F4F"/>
    <w:rsid w:val="009F159E"/>
    <w:rsid w:val="009F4971"/>
    <w:rsid w:val="009F7315"/>
    <w:rsid w:val="00A00786"/>
    <w:rsid w:val="00A0162A"/>
    <w:rsid w:val="00A03529"/>
    <w:rsid w:val="00A11544"/>
    <w:rsid w:val="00A16A89"/>
    <w:rsid w:val="00A21503"/>
    <w:rsid w:val="00A24EE0"/>
    <w:rsid w:val="00A34971"/>
    <w:rsid w:val="00A425B8"/>
    <w:rsid w:val="00A432EE"/>
    <w:rsid w:val="00A43B8F"/>
    <w:rsid w:val="00A451BA"/>
    <w:rsid w:val="00A52574"/>
    <w:rsid w:val="00A53DE1"/>
    <w:rsid w:val="00A57AC2"/>
    <w:rsid w:val="00A57ACC"/>
    <w:rsid w:val="00A723E8"/>
    <w:rsid w:val="00A745B6"/>
    <w:rsid w:val="00A90122"/>
    <w:rsid w:val="00A90221"/>
    <w:rsid w:val="00A92A0F"/>
    <w:rsid w:val="00A9421B"/>
    <w:rsid w:val="00A97704"/>
    <w:rsid w:val="00AC4D0A"/>
    <w:rsid w:val="00AC59DB"/>
    <w:rsid w:val="00AD3B11"/>
    <w:rsid w:val="00AD3EB4"/>
    <w:rsid w:val="00AE0D40"/>
    <w:rsid w:val="00AE546E"/>
    <w:rsid w:val="00AF0A25"/>
    <w:rsid w:val="00AF39C1"/>
    <w:rsid w:val="00B04B32"/>
    <w:rsid w:val="00B1692D"/>
    <w:rsid w:val="00B178A1"/>
    <w:rsid w:val="00B275B7"/>
    <w:rsid w:val="00B2766B"/>
    <w:rsid w:val="00B36863"/>
    <w:rsid w:val="00B423B8"/>
    <w:rsid w:val="00B571F7"/>
    <w:rsid w:val="00B60993"/>
    <w:rsid w:val="00B70D6D"/>
    <w:rsid w:val="00B73043"/>
    <w:rsid w:val="00B730DB"/>
    <w:rsid w:val="00B80341"/>
    <w:rsid w:val="00B83FBA"/>
    <w:rsid w:val="00BB20A5"/>
    <w:rsid w:val="00BB65C4"/>
    <w:rsid w:val="00BB7D48"/>
    <w:rsid w:val="00BC1F0A"/>
    <w:rsid w:val="00BC32E0"/>
    <w:rsid w:val="00BC78B2"/>
    <w:rsid w:val="00BD0061"/>
    <w:rsid w:val="00BD4AA8"/>
    <w:rsid w:val="00BD6354"/>
    <w:rsid w:val="00BE2A18"/>
    <w:rsid w:val="00BE7210"/>
    <w:rsid w:val="00BF0983"/>
    <w:rsid w:val="00BF429F"/>
    <w:rsid w:val="00BF6B95"/>
    <w:rsid w:val="00C03F1E"/>
    <w:rsid w:val="00C069E8"/>
    <w:rsid w:val="00C114CC"/>
    <w:rsid w:val="00C170A6"/>
    <w:rsid w:val="00C206AF"/>
    <w:rsid w:val="00C32B3A"/>
    <w:rsid w:val="00C35132"/>
    <w:rsid w:val="00C43C3E"/>
    <w:rsid w:val="00C46D95"/>
    <w:rsid w:val="00C472D1"/>
    <w:rsid w:val="00C50897"/>
    <w:rsid w:val="00C50E54"/>
    <w:rsid w:val="00C57E57"/>
    <w:rsid w:val="00C57F5E"/>
    <w:rsid w:val="00C60CC2"/>
    <w:rsid w:val="00C64113"/>
    <w:rsid w:val="00C672D3"/>
    <w:rsid w:val="00C67352"/>
    <w:rsid w:val="00C945F4"/>
    <w:rsid w:val="00C957C3"/>
    <w:rsid w:val="00C95B2E"/>
    <w:rsid w:val="00C97C78"/>
    <w:rsid w:val="00CB4F81"/>
    <w:rsid w:val="00CB5348"/>
    <w:rsid w:val="00CB5895"/>
    <w:rsid w:val="00CB5AA9"/>
    <w:rsid w:val="00CB5FDF"/>
    <w:rsid w:val="00CC209D"/>
    <w:rsid w:val="00CC3836"/>
    <w:rsid w:val="00CD06D9"/>
    <w:rsid w:val="00CD2B5C"/>
    <w:rsid w:val="00CD471F"/>
    <w:rsid w:val="00CD64A5"/>
    <w:rsid w:val="00CE16A2"/>
    <w:rsid w:val="00CE6217"/>
    <w:rsid w:val="00CE723A"/>
    <w:rsid w:val="00CE7632"/>
    <w:rsid w:val="00CF3625"/>
    <w:rsid w:val="00D032F4"/>
    <w:rsid w:val="00D20CB1"/>
    <w:rsid w:val="00D2565F"/>
    <w:rsid w:val="00D30046"/>
    <w:rsid w:val="00D33C72"/>
    <w:rsid w:val="00D34462"/>
    <w:rsid w:val="00D34FFD"/>
    <w:rsid w:val="00D36B75"/>
    <w:rsid w:val="00D4544A"/>
    <w:rsid w:val="00D52F5E"/>
    <w:rsid w:val="00D55B2B"/>
    <w:rsid w:val="00D614ED"/>
    <w:rsid w:val="00D6357C"/>
    <w:rsid w:val="00D65FFB"/>
    <w:rsid w:val="00D67F5A"/>
    <w:rsid w:val="00D71F83"/>
    <w:rsid w:val="00D72073"/>
    <w:rsid w:val="00D875C9"/>
    <w:rsid w:val="00DA17BD"/>
    <w:rsid w:val="00DA43FC"/>
    <w:rsid w:val="00DA747B"/>
    <w:rsid w:val="00DB3BB6"/>
    <w:rsid w:val="00DC7BAF"/>
    <w:rsid w:val="00DD0EA4"/>
    <w:rsid w:val="00DD464C"/>
    <w:rsid w:val="00DD7097"/>
    <w:rsid w:val="00DE7950"/>
    <w:rsid w:val="00DF262B"/>
    <w:rsid w:val="00DF6BD7"/>
    <w:rsid w:val="00DF73C8"/>
    <w:rsid w:val="00E02400"/>
    <w:rsid w:val="00E04562"/>
    <w:rsid w:val="00E10FAF"/>
    <w:rsid w:val="00E16EC8"/>
    <w:rsid w:val="00E360AD"/>
    <w:rsid w:val="00E56656"/>
    <w:rsid w:val="00E661D9"/>
    <w:rsid w:val="00E664A7"/>
    <w:rsid w:val="00E723E4"/>
    <w:rsid w:val="00E7377C"/>
    <w:rsid w:val="00E82F1E"/>
    <w:rsid w:val="00E84805"/>
    <w:rsid w:val="00E8499B"/>
    <w:rsid w:val="00E85BF1"/>
    <w:rsid w:val="00E86264"/>
    <w:rsid w:val="00E9034C"/>
    <w:rsid w:val="00E94D1B"/>
    <w:rsid w:val="00E95AE3"/>
    <w:rsid w:val="00EB0593"/>
    <w:rsid w:val="00ED098D"/>
    <w:rsid w:val="00ED48B3"/>
    <w:rsid w:val="00ED6728"/>
    <w:rsid w:val="00EF03BF"/>
    <w:rsid w:val="00EF0F39"/>
    <w:rsid w:val="00EF5A73"/>
    <w:rsid w:val="00EF6386"/>
    <w:rsid w:val="00F040E4"/>
    <w:rsid w:val="00F06CE6"/>
    <w:rsid w:val="00F17EE0"/>
    <w:rsid w:val="00F23DEB"/>
    <w:rsid w:val="00F254BB"/>
    <w:rsid w:val="00F277E1"/>
    <w:rsid w:val="00F32FF8"/>
    <w:rsid w:val="00F454D4"/>
    <w:rsid w:val="00F56E97"/>
    <w:rsid w:val="00F605AF"/>
    <w:rsid w:val="00F6445C"/>
    <w:rsid w:val="00F648E6"/>
    <w:rsid w:val="00F64B97"/>
    <w:rsid w:val="00F73F53"/>
    <w:rsid w:val="00F74BB4"/>
    <w:rsid w:val="00F75DC6"/>
    <w:rsid w:val="00F85DB8"/>
    <w:rsid w:val="00F93D46"/>
    <w:rsid w:val="00F967F0"/>
    <w:rsid w:val="00FA1A6D"/>
    <w:rsid w:val="00FB27F3"/>
    <w:rsid w:val="00FC1764"/>
    <w:rsid w:val="00FC4E89"/>
    <w:rsid w:val="00FC790A"/>
    <w:rsid w:val="00FE2456"/>
    <w:rsid w:val="00FE2D81"/>
    <w:rsid w:val="00FE3F3E"/>
    <w:rsid w:val="00FE57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6A6261-D062-4E80-9F2C-B526125FD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E89"/>
    <w:pPr>
      <w:spacing w:after="0" w:line="360" w:lineRule="auto"/>
      <w:ind w:firstLine="709"/>
      <w:jc w:val="both"/>
    </w:pPr>
    <w:rPr>
      <w:rFonts w:ascii="Times New Roman" w:eastAsia="Times New Roman" w:hAnsi="Times New Roman" w:cs="Times New Roman"/>
      <w:sz w:val="28"/>
      <w:szCs w:val="20"/>
      <w:lang w:eastAsia="ru-RU"/>
    </w:rPr>
  </w:style>
  <w:style w:type="paragraph" w:styleId="2">
    <w:name w:val="heading 2"/>
    <w:basedOn w:val="a"/>
    <w:next w:val="a"/>
    <w:link w:val="20"/>
    <w:uiPriority w:val="99"/>
    <w:qFormat/>
    <w:rsid w:val="00FC4E89"/>
    <w:pPr>
      <w:spacing w:line="240" w:lineRule="auto"/>
      <w:ind w:firstLine="0"/>
      <w:jc w:val="center"/>
      <w:outlineLvl w:val="1"/>
    </w:pPr>
    <w:rPr>
      <w:b/>
      <w:caps/>
      <w:szCs w:val="28"/>
    </w:rPr>
  </w:style>
  <w:style w:type="paragraph" w:styleId="3">
    <w:name w:val="heading 3"/>
    <w:basedOn w:val="a"/>
    <w:next w:val="a"/>
    <w:link w:val="30"/>
    <w:uiPriority w:val="99"/>
    <w:qFormat/>
    <w:rsid w:val="00FC4E89"/>
    <w:pPr>
      <w:spacing w:line="240" w:lineRule="auto"/>
      <w:ind w:firstLine="0"/>
      <w:jc w:val="center"/>
      <w:outlineLvl w:val="2"/>
    </w:pPr>
    <w:rPr>
      <w:b/>
      <w:szCs w:val="28"/>
    </w:rPr>
  </w:style>
  <w:style w:type="paragraph" w:styleId="8">
    <w:name w:val="heading 8"/>
    <w:basedOn w:val="a"/>
    <w:next w:val="a"/>
    <w:link w:val="80"/>
    <w:uiPriority w:val="99"/>
    <w:qFormat/>
    <w:rsid w:val="00FC4E89"/>
    <w:pPr>
      <w:keepNext/>
      <w:widowControl w:val="0"/>
      <w:jc w:val="center"/>
      <w:outlineLvl w:val="7"/>
    </w:pPr>
    <w:rPr>
      <w:color w:val="FF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FC4E89"/>
    <w:rPr>
      <w:rFonts w:ascii="Times New Roman" w:eastAsia="Times New Roman" w:hAnsi="Times New Roman" w:cs="Times New Roman"/>
      <w:b/>
      <w:caps/>
      <w:sz w:val="28"/>
      <w:szCs w:val="28"/>
      <w:lang w:eastAsia="ru-RU"/>
    </w:rPr>
  </w:style>
  <w:style w:type="character" w:customStyle="1" w:styleId="30">
    <w:name w:val="Заголовок 3 Знак"/>
    <w:basedOn w:val="a0"/>
    <w:link w:val="3"/>
    <w:uiPriority w:val="99"/>
    <w:rsid w:val="00FC4E89"/>
    <w:rPr>
      <w:rFonts w:ascii="Times New Roman" w:eastAsia="Times New Roman" w:hAnsi="Times New Roman" w:cs="Times New Roman"/>
      <w:b/>
      <w:sz w:val="28"/>
      <w:szCs w:val="28"/>
      <w:lang w:eastAsia="ru-RU"/>
    </w:rPr>
  </w:style>
  <w:style w:type="character" w:customStyle="1" w:styleId="80">
    <w:name w:val="Заголовок 8 Знак"/>
    <w:basedOn w:val="a0"/>
    <w:link w:val="8"/>
    <w:uiPriority w:val="99"/>
    <w:rsid w:val="00FC4E89"/>
    <w:rPr>
      <w:rFonts w:ascii="Times New Roman" w:eastAsia="Times New Roman" w:hAnsi="Times New Roman" w:cs="Times New Roman"/>
      <w:color w:val="FF0000"/>
      <w:sz w:val="28"/>
      <w:szCs w:val="20"/>
      <w:lang w:eastAsia="ru-RU"/>
    </w:rPr>
  </w:style>
  <w:style w:type="paragraph" w:customStyle="1" w:styleId="a3">
    <w:name w:val="подпись"/>
    <w:basedOn w:val="a"/>
    <w:uiPriority w:val="99"/>
    <w:rsid w:val="00FC4E89"/>
    <w:pPr>
      <w:overflowPunct w:val="0"/>
      <w:autoSpaceDE w:val="0"/>
      <w:autoSpaceDN w:val="0"/>
      <w:adjustRightInd w:val="0"/>
      <w:spacing w:line="240" w:lineRule="auto"/>
      <w:ind w:firstLine="0"/>
      <w:jc w:val="right"/>
      <w:textAlignment w:val="baseline"/>
    </w:pPr>
    <w:rPr>
      <w:szCs w:val="28"/>
    </w:rPr>
  </w:style>
  <w:style w:type="paragraph" w:customStyle="1" w:styleId="1">
    <w:name w:val="Должность1"/>
    <w:basedOn w:val="a"/>
    <w:uiPriority w:val="99"/>
    <w:rsid w:val="00FC4E89"/>
    <w:pPr>
      <w:overflowPunct w:val="0"/>
      <w:autoSpaceDE w:val="0"/>
      <w:autoSpaceDN w:val="0"/>
      <w:adjustRightInd w:val="0"/>
      <w:spacing w:line="240" w:lineRule="auto"/>
      <w:ind w:firstLine="0"/>
      <w:jc w:val="left"/>
      <w:textAlignment w:val="baseline"/>
    </w:pPr>
    <w:rPr>
      <w:szCs w:val="28"/>
    </w:rPr>
  </w:style>
  <w:style w:type="paragraph" w:styleId="a4">
    <w:name w:val="List Paragraph"/>
    <w:basedOn w:val="a"/>
    <w:link w:val="a5"/>
    <w:uiPriority w:val="34"/>
    <w:qFormat/>
    <w:rsid w:val="00726694"/>
    <w:pPr>
      <w:ind w:left="720"/>
      <w:contextualSpacing/>
    </w:pPr>
  </w:style>
  <w:style w:type="paragraph" w:styleId="a6">
    <w:name w:val="header"/>
    <w:basedOn w:val="a"/>
    <w:link w:val="a7"/>
    <w:uiPriority w:val="99"/>
    <w:unhideWhenUsed/>
    <w:rsid w:val="0027277C"/>
    <w:pPr>
      <w:tabs>
        <w:tab w:val="center" w:pos="4677"/>
        <w:tab w:val="right" w:pos="9355"/>
      </w:tabs>
      <w:spacing w:line="240" w:lineRule="auto"/>
    </w:pPr>
  </w:style>
  <w:style w:type="character" w:customStyle="1" w:styleId="a7">
    <w:name w:val="Верхний колонтитул Знак"/>
    <w:basedOn w:val="a0"/>
    <w:link w:val="a6"/>
    <w:uiPriority w:val="99"/>
    <w:rsid w:val="0027277C"/>
    <w:rPr>
      <w:rFonts w:ascii="Times New Roman" w:eastAsia="Times New Roman" w:hAnsi="Times New Roman" w:cs="Times New Roman"/>
      <w:sz w:val="28"/>
      <w:szCs w:val="20"/>
      <w:lang w:eastAsia="ru-RU"/>
    </w:rPr>
  </w:style>
  <w:style w:type="paragraph" w:styleId="a8">
    <w:name w:val="footer"/>
    <w:basedOn w:val="a"/>
    <w:link w:val="a9"/>
    <w:uiPriority w:val="99"/>
    <w:unhideWhenUsed/>
    <w:rsid w:val="0027277C"/>
    <w:pPr>
      <w:tabs>
        <w:tab w:val="center" w:pos="4677"/>
        <w:tab w:val="right" w:pos="9355"/>
      </w:tabs>
      <w:spacing w:line="240" w:lineRule="auto"/>
    </w:pPr>
  </w:style>
  <w:style w:type="character" w:customStyle="1" w:styleId="a9">
    <w:name w:val="Нижний колонтитул Знак"/>
    <w:basedOn w:val="a0"/>
    <w:link w:val="a8"/>
    <w:uiPriority w:val="99"/>
    <w:rsid w:val="0027277C"/>
    <w:rPr>
      <w:rFonts w:ascii="Times New Roman" w:eastAsia="Times New Roman" w:hAnsi="Times New Roman" w:cs="Times New Roman"/>
      <w:sz w:val="28"/>
      <w:szCs w:val="20"/>
      <w:lang w:eastAsia="ru-RU"/>
    </w:rPr>
  </w:style>
  <w:style w:type="paragraph" w:styleId="aa">
    <w:name w:val="No Spacing"/>
    <w:uiPriority w:val="1"/>
    <w:qFormat/>
    <w:rsid w:val="005F4F83"/>
    <w:pPr>
      <w:spacing w:after="0" w:line="240" w:lineRule="auto"/>
    </w:pPr>
  </w:style>
  <w:style w:type="paragraph" w:styleId="ab">
    <w:name w:val="footnote text"/>
    <w:basedOn w:val="a"/>
    <w:link w:val="ac"/>
    <w:uiPriority w:val="99"/>
    <w:unhideWhenUsed/>
    <w:rsid w:val="00577552"/>
    <w:pPr>
      <w:spacing w:line="240" w:lineRule="auto"/>
      <w:ind w:firstLine="0"/>
      <w:jc w:val="left"/>
    </w:pPr>
    <w:rPr>
      <w:rFonts w:asciiTheme="minorHAnsi" w:eastAsiaTheme="minorHAnsi" w:hAnsiTheme="minorHAnsi" w:cstheme="minorBidi"/>
      <w:sz w:val="20"/>
      <w:lang w:eastAsia="en-US"/>
    </w:rPr>
  </w:style>
  <w:style w:type="character" w:customStyle="1" w:styleId="ac">
    <w:name w:val="Текст сноски Знак"/>
    <w:basedOn w:val="a0"/>
    <w:link w:val="ab"/>
    <w:uiPriority w:val="99"/>
    <w:rsid w:val="00577552"/>
    <w:rPr>
      <w:sz w:val="20"/>
      <w:szCs w:val="20"/>
    </w:rPr>
  </w:style>
  <w:style w:type="character" w:styleId="ad">
    <w:name w:val="footnote reference"/>
    <w:basedOn w:val="a0"/>
    <w:uiPriority w:val="99"/>
    <w:semiHidden/>
    <w:unhideWhenUsed/>
    <w:rsid w:val="00577552"/>
    <w:rPr>
      <w:vertAlign w:val="superscript"/>
    </w:rPr>
  </w:style>
  <w:style w:type="paragraph" w:styleId="ae">
    <w:name w:val="Balloon Text"/>
    <w:basedOn w:val="a"/>
    <w:link w:val="af"/>
    <w:uiPriority w:val="99"/>
    <w:semiHidden/>
    <w:unhideWhenUsed/>
    <w:rsid w:val="00D71F83"/>
    <w:pPr>
      <w:spacing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71F83"/>
    <w:rPr>
      <w:rFonts w:ascii="Segoe UI" w:eastAsia="Times New Roman" w:hAnsi="Segoe UI" w:cs="Segoe UI"/>
      <w:sz w:val="18"/>
      <w:szCs w:val="18"/>
      <w:lang w:eastAsia="ru-RU"/>
    </w:rPr>
  </w:style>
  <w:style w:type="paragraph" w:styleId="21">
    <w:name w:val="Body Text Indent 2"/>
    <w:basedOn w:val="a"/>
    <w:link w:val="22"/>
    <w:rsid w:val="00BB7D48"/>
    <w:pPr>
      <w:spacing w:line="240" w:lineRule="auto"/>
      <w:ind w:left="709" w:firstLine="1560"/>
      <w:jc w:val="left"/>
    </w:pPr>
    <w:rPr>
      <w:b/>
      <w:sz w:val="24"/>
    </w:rPr>
  </w:style>
  <w:style w:type="character" w:customStyle="1" w:styleId="22">
    <w:name w:val="Основной текст с отступом 2 Знак"/>
    <w:basedOn w:val="a0"/>
    <w:link w:val="21"/>
    <w:rsid w:val="00BB7D48"/>
    <w:rPr>
      <w:rFonts w:ascii="Times New Roman" w:eastAsia="Times New Roman" w:hAnsi="Times New Roman" w:cs="Times New Roman"/>
      <w:b/>
      <w:sz w:val="24"/>
      <w:szCs w:val="20"/>
      <w:lang w:eastAsia="ru-RU"/>
    </w:rPr>
  </w:style>
  <w:style w:type="character" w:customStyle="1" w:styleId="a5">
    <w:name w:val="Абзац списка Знак"/>
    <w:link w:val="a4"/>
    <w:uiPriority w:val="34"/>
    <w:rsid w:val="00B571F7"/>
    <w:rPr>
      <w:rFonts w:ascii="Times New Roman" w:eastAsia="Times New Roman" w:hAnsi="Times New Roman" w:cs="Times New Roman"/>
      <w:sz w:val="28"/>
      <w:szCs w:val="20"/>
      <w:lang w:eastAsia="ru-RU"/>
    </w:rPr>
  </w:style>
  <w:style w:type="character" w:styleId="af0">
    <w:name w:val="Hyperlink"/>
    <w:basedOn w:val="a0"/>
    <w:uiPriority w:val="99"/>
    <w:unhideWhenUsed/>
    <w:rsid w:val="00C50897"/>
    <w:rPr>
      <w:color w:val="0000FF"/>
      <w:u w:val="single"/>
    </w:rPr>
  </w:style>
  <w:style w:type="paragraph" w:customStyle="1" w:styleId="ConsPlusNormal">
    <w:name w:val="ConsPlusNormal"/>
    <w:rsid w:val="00C50897"/>
    <w:pPr>
      <w:autoSpaceDE w:val="0"/>
      <w:autoSpaceDN w:val="0"/>
      <w:adjustRightInd w:val="0"/>
      <w:spacing w:after="0" w:line="240" w:lineRule="auto"/>
    </w:pPr>
    <w:rPr>
      <w:rFonts w:ascii="Times New Roman" w:eastAsia="Times New Roman" w:hAnsi="Times New Roman" w:cs="Times New Roman"/>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29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FE81A-7829-4ADB-B734-15A106AD0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894</Words>
  <Characters>5096</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Севостьянова Ольга Григорьевна</dc:creator>
  <cp:keywords/>
  <dc:description/>
  <cp:lastModifiedBy>Ирина В. Карабанова</cp:lastModifiedBy>
  <cp:revision>6</cp:revision>
  <cp:lastPrinted>2024-05-02T03:10:00Z</cp:lastPrinted>
  <dcterms:created xsi:type="dcterms:W3CDTF">2025-12-24T03:56:00Z</dcterms:created>
  <dcterms:modified xsi:type="dcterms:W3CDTF">2025-12-25T00:19:00Z</dcterms:modified>
</cp:coreProperties>
</file>